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07" w:rsidRPr="000D51F7" w:rsidRDefault="00FA45C6">
      <w:pPr>
        <w:spacing w:line="578" w:lineRule="exact"/>
        <w:jc w:val="left"/>
        <w:rPr>
          <w:rFonts w:ascii="方正黑体_GBK" w:eastAsia="方正黑体_GBK" w:hAnsi="方正小标宋简体" w:cs="方正小标宋简体" w:hint="eastAsia"/>
          <w:sz w:val="44"/>
          <w:szCs w:val="44"/>
        </w:rPr>
      </w:pPr>
      <w:r w:rsidRPr="000D51F7">
        <w:rPr>
          <w:rFonts w:ascii="方正黑体_GBK" w:eastAsia="方正黑体_GBK" w:hAnsi="宋体" w:cs="宋体" w:hint="eastAsia"/>
          <w:sz w:val="32"/>
          <w:szCs w:val="32"/>
        </w:rPr>
        <w:t>附件2</w:t>
      </w:r>
    </w:p>
    <w:p w:rsidR="00706F07" w:rsidRDefault="00FA45C6">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达州中医药职业学院</w:t>
      </w:r>
    </w:p>
    <w:p w:rsidR="00706F07" w:rsidRDefault="00FA45C6">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关于院内电梯维保及相关服务的需求</w:t>
      </w:r>
      <w:r w:rsidR="009A4348">
        <w:rPr>
          <w:rFonts w:ascii="方正小标宋简体" w:eastAsia="方正小标宋简体" w:hAnsi="方正小标宋简体" w:cs="方正小标宋简体" w:hint="eastAsia"/>
          <w:sz w:val="44"/>
          <w:szCs w:val="44"/>
        </w:rPr>
        <w:t>方案</w:t>
      </w:r>
    </w:p>
    <w:p w:rsidR="00706F07" w:rsidRDefault="00FA45C6" w:rsidP="00A46E79">
      <w:pPr>
        <w:spacing w:before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我院在运行电梯8部，其中教学楼4部，精诚楼2部，百合苑、白果苑各1部。学院将采购维保单位负责电梯运行、维保，保证出现故障时的及时修复，具体方案如下：</w:t>
      </w:r>
    </w:p>
    <w:p w:rsidR="00706F07" w:rsidRDefault="00FA45C6">
      <w:pPr>
        <w:pStyle w:val="a7"/>
        <w:numPr>
          <w:ilvl w:val="0"/>
          <w:numId w:val="1"/>
        </w:numPr>
        <w:spacing w:line="560" w:lineRule="exact"/>
        <w:ind w:firstLineChars="0"/>
        <w:rPr>
          <w:rFonts w:ascii="黑体" w:eastAsia="黑体" w:hAnsi="黑体" w:cs="黑体"/>
          <w:sz w:val="32"/>
          <w:szCs w:val="32"/>
        </w:rPr>
      </w:pPr>
      <w:r>
        <w:rPr>
          <w:rFonts w:ascii="黑体" w:eastAsia="黑体" w:hAnsi="黑体" w:cs="黑体" w:hint="eastAsia"/>
          <w:sz w:val="32"/>
          <w:szCs w:val="32"/>
        </w:rPr>
        <w:t>资格要求</w:t>
      </w:r>
    </w:p>
    <w:p w:rsidR="00706F07" w:rsidRDefault="00FA45C6">
      <w:pPr>
        <w:spacing w:line="578" w:lineRule="exact"/>
        <w:ind w:left="640"/>
        <w:rPr>
          <w:rFonts w:ascii="仿宋" w:eastAsia="仿宋" w:hAnsi="仿宋" w:cs="仿宋"/>
          <w:color w:val="000000" w:themeColor="text1"/>
          <w:sz w:val="32"/>
          <w:szCs w:val="32"/>
        </w:rPr>
      </w:pPr>
      <w:r>
        <w:rPr>
          <w:rFonts w:ascii="仿宋" w:eastAsia="仿宋" w:hAnsi="仿宋" w:cs="仿宋" w:hint="eastAsia"/>
          <w:sz w:val="32"/>
          <w:szCs w:val="32"/>
        </w:rPr>
        <w:t>参与竞价单位必须满足以下要求：</w:t>
      </w:r>
    </w:p>
    <w:p w:rsidR="00706F07" w:rsidRDefault="00FA45C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具备有效营业执照的企业法人</w:t>
      </w:r>
      <w:r>
        <w:rPr>
          <w:rFonts w:ascii="仿宋" w:eastAsia="仿宋" w:hAnsi="仿宋" w:cs="仿宋" w:hint="eastAsia"/>
          <w:sz w:val="32"/>
          <w:szCs w:val="32"/>
        </w:rPr>
        <w:t>，</w:t>
      </w:r>
      <w:r>
        <w:rPr>
          <w:rFonts w:ascii="仿宋" w:eastAsia="仿宋" w:hAnsi="仿宋" w:cs="仿宋"/>
          <w:sz w:val="32"/>
          <w:szCs w:val="32"/>
        </w:rPr>
        <w:t>且营业执照的经营范围有乘客电梯维</w:t>
      </w:r>
      <w:r>
        <w:rPr>
          <w:rFonts w:ascii="仿宋" w:eastAsia="仿宋" w:hAnsi="仿宋" w:cs="仿宋" w:hint="eastAsia"/>
          <w:sz w:val="32"/>
          <w:szCs w:val="32"/>
        </w:rPr>
        <w:t>修（维护）</w:t>
      </w:r>
      <w:r>
        <w:rPr>
          <w:rFonts w:ascii="仿宋" w:eastAsia="仿宋" w:hAnsi="仿宋" w:cs="仿宋"/>
          <w:sz w:val="32"/>
          <w:szCs w:val="32"/>
        </w:rPr>
        <w:t>项目</w:t>
      </w:r>
      <w:r>
        <w:rPr>
          <w:rFonts w:ascii="仿宋" w:eastAsia="仿宋" w:hAnsi="仿宋" w:cs="仿宋" w:hint="eastAsia"/>
          <w:sz w:val="32"/>
          <w:szCs w:val="32"/>
        </w:rPr>
        <w:t>；</w:t>
      </w:r>
    </w:p>
    <w:p w:rsidR="00706F07" w:rsidRDefault="00FA45C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2.具有《中华人民共和国特种设备生产许可证》；</w:t>
      </w:r>
    </w:p>
    <w:p w:rsidR="00706F07" w:rsidRDefault="00FA45C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3.现场作业人员需要具备《中华人民共和国特种设备作业人员证》；</w:t>
      </w:r>
    </w:p>
    <w:p w:rsidR="00706F07" w:rsidRDefault="00FA45C6">
      <w:pPr>
        <w:spacing w:line="56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4.经营者参与本项目前3年内无重大违法犯罪记录或受到相关行政处罚；</w:t>
      </w:r>
    </w:p>
    <w:p w:rsidR="00706F07" w:rsidRDefault="00FA45C6">
      <w:pPr>
        <w:spacing w:line="56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5.近3年内完成单位电梯维保服务5个（含）以上；</w:t>
      </w:r>
    </w:p>
    <w:p w:rsidR="00706F07" w:rsidRDefault="00FA45C6">
      <w:pPr>
        <w:spacing w:line="56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6.符合法律法规规定的其它条件。</w:t>
      </w:r>
    </w:p>
    <w:p w:rsidR="00706F07" w:rsidRDefault="00FA45C6">
      <w:pPr>
        <w:pStyle w:val="a7"/>
        <w:numPr>
          <w:ilvl w:val="0"/>
          <w:numId w:val="1"/>
        </w:numPr>
        <w:spacing w:line="560" w:lineRule="exact"/>
        <w:ind w:firstLineChars="0"/>
        <w:rPr>
          <w:rFonts w:ascii="黑体" w:eastAsia="黑体" w:hAnsi="黑体" w:cs="黑体"/>
          <w:sz w:val="32"/>
          <w:szCs w:val="32"/>
        </w:rPr>
      </w:pPr>
      <w:r>
        <w:rPr>
          <w:rFonts w:ascii="黑体" w:eastAsia="黑体" w:hAnsi="黑体" w:cs="黑体" w:hint="eastAsia"/>
          <w:sz w:val="32"/>
          <w:szCs w:val="32"/>
        </w:rPr>
        <w:t>服务期限</w:t>
      </w:r>
    </w:p>
    <w:p w:rsidR="00706F07" w:rsidRDefault="00FA45C6">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服务时间为2年，以合同签订时间为准。</w:t>
      </w:r>
    </w:p>
    <w:p w:rsidR="00706F07" w:rsidRDefault="00FA45C6">
      <w:pPr>
        <w:spacing w:line="560" w:lineRule="exact"/>
        <w:ind w:rightChars="100" w:right="210" w:firstLine="640"/>
        <w:rPr>
          <w:rFonts w:ascii="仿宋" w:eastAsia="仿宋" w:hAnsi="仿宋" w:cs="仿宋"/>
          <w:bCs/>
          <w:sz w:val="32"/>
          <w:szCs w:val="32"/>
        </w:rPr>
      </w:pPr>
      <w:r>
        <w:rPr>
          <w:rFonts w:ascii="黑体" w:eastAsia="黑体" w:hAnsi="黑体" w:cs="黑体" w:hint="eastAsia"/>
          <w:sz w:val="32"/>
          <w:szCs w:val="32"/>
        </w:rPr>
        <w:t>三、费用结算</w:t>
      </w:r>
    </w:p>
    <w:p w:rsidR="00706F07" w:rsidRDefault="00FA45C6">
      <w:pPr>
        <w:spacing w:line="560" w:lineRule="exact"/>
        <w:ind w:left="640" w:rightChars="100" w:right="210"/>
        <w:rPr>
          <w:rFonts w:ascii="仿宋" w:eastAsia="仿宋" w:hAnsi="仿宋" w:cs="仿宋"/>
          <w:bCs/>
          <w:sz w:val="32"/>
          <w:szCs w:val="32"/>
        </w:rPr>
      </w:pPr>
      <w:r>
        <w:rPr>
          <w:rFonts w:ascii="仿宋" w:eastAsia="仿宋" w:hAnsi="仿宋" w:cs="仿宋" w:hint="eastAsia"/>
          <w:bCs/>
          <w:sz w:val="32"/>
          <w:szCs w:val="32"/>
        </w:rPr>
        <w:t>1.派遣维保人员的工资、社保、保险等其他一切费用由维保公司负责。</w:t>
      </w:r>
    </w:p>
    <w:p w:rsidR="00706F07" w:rsidRDefault="00FA45C6">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2.每服务满一年结算一次维保费用，费用由维保单开具有效发票交学院按相关规定予以报销。</w:t>
      </w:r>
    </w:p>
    <w:p w:rsidR="00706F07" w:rsidRDefault="00FA45C6">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lastRenderedPageBreak/>
        <w:t>3.</w:t>
      </w:r>
      <w:r>
        <w:rPr>
          <w:rFonts w:ascii="仿宋" w:eastAsia="仿宋" w:hAnsi="仿宋" w:cs="仿宋" w:hint="eastAsia"/>
          <w:sz w:val="32"/>
          <w:szCs w:val="32"/>
        </w:rPr>
        <w:t xml:space="preserve"> 维保单位负责我院在运行的8部电梯年检等相关工作，</w:t>
      </w:r>
      <w:r>
        <w:rPr>
          <w:rFonts w:ascii="仿宋" w:eastAsia="仿宋" w:hAnsi="仿宋" w:cs="仿宋" w:hint="eastAsia"/>
          <w:bCs/>
          <w:sz w:val="32"/>
          <w:szCs w:val="32"/>
        </w:rPr>
        <w:t>年检费用、限速器校验费用由维保单位垫付，凭票交学院报销。</w:t>
      </w:r>
    </w:p>
    <w:p w:rsidR="00706F07" w:rsidRDefault="00FA45C6">
      <w:pPr>
        <w:snapToGrid w:val="0"/>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四、</w:t>
      </w:r>
      <w:r>
        <w:rPr>
          <w:rFonts w:ascii="黑体" w:eastAsia="黑体" w:hAnsi="黑体" w:cs="黑体" w:hint="eastAsia"/>
          <w:sz w:val="32"/>
          <w:szCs w:val="32"/>
        </w:rPr>
        <w:t>维护保养内容</w:t>
      </w:r>
    </w:p>
    <w:p w:rsidR="00706F07" w:rsidRPr="009A4348" w:rsidRDefault="00FA45C6">
      <w:pPr>
        <w:spacing w:line="560" w:lineRule="exact"/>
        <w:ind w:rightChars="100" w:right="210" w:firstLine="640"/>
        <w:rPr>
          <w:rFonts w:ascii="方正楷体_GBK" w:eastAsia="方正楷体_GBK" w:hAnsi="仿宋" w:cs="仿宋"/>
          <w:bCs/>
          <w:sz w:val="32"/>
          <w:szCs w:val="32"/>
        </w:rPr>
      </w:pPr>
      <w:r w:rsidRPr="009A4348">
        <w:rPr>
          <w:rFonts w:ascii="方正楷体_GBK" w:eastAsia="方正楷体_GBK" w:hAnsi="仿宋" w:cs="仿宋" w:hint="eastAsia"/>
          <w:bCs/>
          <w:sz w:val="32"/>
          <w:szCs w:val="32"/>
        </w:rPr>
        <w:t>1.每半月检查</w:t>
      </w:r>
    </w:p>
    <w:p w:rsidR="00706F07" w:rsidRDefault="00FA45C6">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电梯维修保养人员应每15天一次对电梯的主要机械设备和电气设备进行检查，进行必要的修正和润滑，</w:t>
      </w:r>
      <w:r>
        <w:rPr>
          <w:rFonts w:ascii="仿宋_GB2312" w:eastAsia="仿宋_GB2312" w:hAnsi="仿宋_GB2312" w:cs="仿宋_GB2312" w:hint="eastAsia"/>
          <w:sz w:val="32"/>
          <w:szCs w:val="32"/>
        </w:rPr>
        <w:t>并做好相关记录备查。</w:t>
      </w:r>
      <w:r>
        <w:rPr>
          <w:rFonts w:ascii="仿宋" w:eastAsia="仿宋" w:hAnsi="仿宋" w:cs="仿宋" w:hint="eastAsia"/>
          <w:bCs/>
          <w:sz w:val="32"/>
          <w:szCs w:val="32"/>
        </w:rPr>
        <w:t>。（详见附表1）</w:t>
      </w:r>
    </w:p>
    <w:p w:rsidR="00706F07" w:rsidRDefault="00FA45C6">
      <w:pPr>
        <w:spacing w:line="560" w:lineRule="exact"/>
        <w:ind w:rightChars="100" w:right="210"/>
        <w:rPr>
          <w:rFonts w:ascii="仿宋" w:eastAsia="仿宋" w:hAnsi="仿宋" w:cs="仿宋"/>
          <w:bCs/>
          <w:sz w:val="32"/>
          <w:szCs w:val="32"/>
        </w:rPr>
      </w:pPr>
      <w:r>
        <w:rPr>
          <w:rFonts w:ascii="仿宋" w:eastAsia="仿宋" w:hAnsi="仿宋" w:cs="仿宋" w:hint="eastAsia"/>
          <w:bCs/>
          <w:sz w:val="32"/>
          <w:szCs w:val="32"/>
        </w:rPr>
        <w:t>附表1、半月维保项目（内容）和要求</w:t>
      </w:r>
    </w:p>
    <w:tbl>
      <w:tblPr>
        <w:tblW w:w="94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699"/>
        <w:gridCol w:w="3342"/>
        <w:gridCol w:w="5396"/>
      </w:tblGrid>
      <w:tr w:rsidR="00706F07">
        <w:trPr>
          <w:trHeight w:hRule="exact" w:val="430"/>
          <w:jc w:val="center"/>
        </w:trPr>
        <w:tc>
          <w:tcPr>
            <w:tcW w:w="699" w:type="dxa"/>
            <w:tcBorders>
              <w:top w:val="single" w:sz="8"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序号</w:t>
            </w:r>
          </w:p>
        </w:tc>
        <w:tc>
          <w:tcPr>
            <w:tcW w:w="3342" w:type="dxa"/>
            <w:tcBorders>
              <w:top w:val="single" w:sz="8"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维保项目（内容）</w:t>
            </w:r>
          </w:p>
        </w:tc>
        <w:tc>
          <w:tcPr>
            <w:tcW w:w="5396" w:type="dxa"/>
            <w:tcBorders>
              <w:top w:val="single" w:sz="8"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维保基本要求</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机房、滑轮间环境</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清洁，门窗完好、照明正常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手动紧急操作装置</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齐全，在指定位置</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3</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驱动主机</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运行时无异常振动和异常声响</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4</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制动器各销轴部位</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动作灵活</w:t>
            </w:r>
          </w:p>
        </w:tc>
      </w:tr>
      <w:tr w:rsidR="00706F07">
        <w:trPr>
          <w:trHeight w:hRule="exact" w:val="711"/>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5</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制动器间隙</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打开时制动衬与制动轮不应发生摩擦，间隙值符合制造单位要求</w:t>
            </w:r>
          </w:p>
        </w:tc>
      </w:tr>
      <w:tr w:rsidR="00706F07">
        <w:trPr>
          <w:trHeight w:hRule="exact" w:val="706"/>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6</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制动器作为轿厢意外移动保护</w:t>
            </w:r>
          </w:p>
          <w:p w:rsidR="00706F07" w:rsidRDefault="00FA45C6">
            <w:pPr>
              <w:pStyle w:val="a3"/>
              <w:snapToGrid w:val="0"/>
              <w:spacing w:after="0" w:line="300" w:lineRule="exact"/>
              <w:rPr>
                <w:rFonts w:ascii="宋体" w:hAnsi="宋体"/>
                <w:sz w:val="22"/>
              </w:rPr>
            </w:pPr>
            <w:r>
              <w:rPr>
                <w:rFonts w:ascii="宋体" w:hAnsi="宋体" w:hint="eastAsia"/>
                <w:sz w:val="22"/>
              </w:rPr>
              <w:t>装置制停子系统时的自监测</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制动力人工方式检测符合使用维护说明书要求；制动力自监测系统有记录</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7</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编码器</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清洁，安装牢固</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8</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限速器各销轴部位</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润滑，转动灵活；电气开关正常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9</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层门和轿门旁路装置</w:t>
            </w:r>
            <w:r>
              <w:rPr>
                <w:rFonts w:ascii="宋体" w:hAnsi="宋体"/>
                <w:sz w:val="22"/>
              </w:rPr>
              <w:t> </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10</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紧急电动运行</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11</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轿顶</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清洁，防护拦安全可靠</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12</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轿顶检修开关、停止装置</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13</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导靴上油杯</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吸油毛毡齐全，油量适宜，油杯无泄漏</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14</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对重/平衡重块及其压板</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对重/平衡重块无松动，压板紧固。</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15</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井道照明</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齐全、正常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16</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轿厢照明、风扇、应急照明</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17</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轿厢检修开关、急停开关</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18</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轿内报警装置、对讲系统</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lastRenderedPageBreak/>
              <w:t>19</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轿内显示、指令按钮、IC卡系统</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齐全、有效</w:t>
            </w:r>
          </w:p>
        </w:tc>
      </w:tr>
      <w:tr w:rsidR="00706F07">
        <w:trPr>
          <w:trHeight w:hRule="exact" w:val="869"/>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20</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轿门防撞击保护装置（安全触板，光幕、光电等）</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功能有效</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21</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轿门门锁电气触点</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 触点接触良好，接线可靠</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22</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轿门运行</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开启和关闭工作正常</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23</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轿厢平层精度</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符合标准值</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24</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层站召唤、层楼显示</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齐全、有效</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25</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层门地坎</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26</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层门自动关门装置</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正常</w:t>
            </w:r>
          </w:p>
        </w:tc>
      </w:tr>
      <w:tr w:rsidR="00706F07">
        <w:trPr>
          <w:trHeight w:hRule="exact" w:val="649"/>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27</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层门门锁自动复位</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用层门钥匙打开手动开锁装置释放后，层门门锁能自动复位</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28</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层门门锁电气触点</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 触点接触良好，接线可靠</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29</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层门锁紧元件啮合长度</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不小于7mm</w:t>
            </w:r>
          </w:p>
        </w:tc>
      </w:tr>
      <w:tr w:rsidR="00706F07">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30</w:t>
            </w:r>
          </w:p>
        </w:tc>
        <w:tc>
          <w:tcPr>
            <w:tcW w:w="3342"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底坑环境</w:t>
            </w:r>
          </w:p>
        </w:tc>
        <w:tc>
          <w:tcPr>
            <w:tcW w:w="5396"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清洁，无渗水、积水，照明正常</w:t>
            </w:r>
          </w:p>
        </w:tc>
      </w:tr>
      <w:tr w:rsidR="00706F07">
        <w:trPr>
          <w:trHeight w:hRule="exact" w:val="430"/>
          <w:jc w:val="center"/>
        </w:trPr>
        <w:tc>
          <w:tcPr>
            <w:tcW w:w="699" w:type="dxa"/>
            <w:tcBorders>
              <w:top w:val="single" w:sz="6" w:space="0" w:color="000000"/>
              <w:left w:val="single" w:sz="8"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31</w:t>
            </w:r>
          </w:p>
        </w:tc>
        <w:tc>
          <w:tcPr>
            <w:tcW w:w="3342" w:type="dxa"/>
            <w:tcBorders>
              <w:top w:val="single" w:sz="6" w:space="0" w:color="000000"/>
              <w:left w:val="single" w:sz="6"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底坑停止装置</w:t>
            </w:r>
          </w:p>
        </w:tc>
        <w:tc>
          <w:tcPr>
            <w:tcW w:w="5396" w:type="dxa"/>
            <w:tcBorders>
              <w:top w:val="single" w:sz="6" w:space="0" w:color="000000"/>
              <w:left w:val="single" w:sz="6" w:space="0" w:color="000000"/>
              <w:bottom w:val="single" w:sz="8"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bl>
    <w:p w:rsidR="00706F07" w:rsidRDefault="00706F07">
      <w:pPr>
        <w:snapToGrid w:val="0"/>
        <w:spacing w:line="360" w:lineRule="auto"/>
        <w:rPr>
          <w:rFonts w:ascii="宋体" w:hAnsi="宋体"/>
          <w:sz w:val="24"/>
        </w:rPr>
      </w:pPr>
    </w:p>
    <w:p w:rsidR="00706F07" w:rsidRPr="009A4348" w:rsidRDefault="00FA45C6">
      <w:pPr>
        <w:snapToGrid w:val="0"/>
        <w:spacing w:line="360" w:lineRule="auto"/>
        <w:ind w:firstLineChars="200" w:firstLine="640"/>
        <w:rPr>
          <w:rFonts w:ascii="方正楷体_GBK" w:eastAsia="方正楷体_GBK" w:hAnsi="仿宋_GB2312" w:cs="仿宋_GB2312"/>
          <w:sz w:val="32"/>
          <w:szCs w:val="32"/>
        </w:rPr>
      </w:pPr>
      <w:r w:rsidRPr="009A4348">
        <w:rPr>
          <w:rFonts w:ascii="方正楷体_GBK" w:eastAsia="方正楷体_GBK" w:hAnsi="仿宋_GB2312" w:cs="仿宋_GB2312" w:hint="eastAsia"/>
          <w:sz w:val="32"/>
          <w:szCs w:val="32"/>
        </w:rPr>
        <w:t>2.季度检查</w:t>
      </w:r>
    </w:p>
    <w:p w:rsidR="00706F07" w:rsidRDefault="00FA45C6">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电梯维修保养人员应每三个月一次对电描的一般重要机械设备和电气设备进行全面检查、调整和修正，并做好相关记录备查。。（详见附表2）</w:t>
      </w:r>
    </w:p>
    <w:p w:rsidR="00706F07" w:rsidRDefault="00FA45C6">
      <w:pPr>
        <w:pStyle w:val="a3"/>
        <w:spacing w:after="0" w:line="3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附表2、季度维保项目（内容）和要求</w:t>
      </w:r>
    </w:p>
    <w:tbl>
      <w:tblPr>
        <w:tblW w:w="94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00"/>
        <w:gridCol w:w="3596"/>
        <w:gridCol w:w="5159"/>
      </w:tblGrid>
      <w:tr w:rsidR="00706F07">
        <w:trPr>
          <w:trHeight w:hRule="exact" w:val="433"/>
          <w:jc w:val="center"/>
        </w:trPr>
        <w:tc>
          <w:tcPr>
            <w:tcW w:w="700" w:type="dxa"/>
            <w:tcBorders>
              <w:top w:val="single" w:sz="8"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序号</w:t>
            </w:r>
          </w:p>
        </w:tc>
        <w:tc>
          <w:tcPr>
            <w:tcW w:w="3596" w:type="dxa"/>
            <w:tcBorders>
              <w:top w:val="single" w:sz="8"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维保项目（内容）</w:t>
            </w:r>
          </w:p>
        </w:tc>
        <w:tc>
          <w:tcPr>
            <w:tcW w:w="5159" w:type="dxa"/>
            <w:tcBorders>
              <w:top w:val="single" w:sz="8"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维保基本要求</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减速机润滑油</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油量适宜，除蜗杆伸出端外均无渗漏</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制动衬</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清洁，磨损量不超过制造单位要求</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3</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编码器</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4</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选层器动静触点</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清洁，无烧蚀</w:t>
            </w:r>
          </w:p>
        </w:tc>
      </w:tr>
      <w:tr w:rsidR="00706F07">
        <w:trPr>
          <w:trHeight w:hRule="exact" w:val="738"/>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5</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曳引轮槽、悬挂装置</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清洁，钢丝绳无严重油腻，张力均匀，符合制造单位要求</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6</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限速器轮槽、限速器钢丝绳</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清洁，无严重油腻</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7</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靴衬、滚轮</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清洁，磨损量不超过制造单位要求</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8</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验证轿门关闭的电气安全装置</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705"/>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lastRenderedPageBreak/>
              <w:t>9</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层门、轿门系统中传动钢丝绳、链条、传动带</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按照制造单位要求进行清洁、调整</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10</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层门门导靴</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磨损量不超过制造单位要求</w:t>
            </w:r>
          </w:p>
        </w:tc>
      </w:tr>
      <w:tr w:rsidR="00706F07">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11</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消防开关</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工作正常，功能有效</w:t>
            </w:r>
          </w:p>
        </w:tc>
      </w:tr>
      <w:tr w:rsidR="00706F07">
        <w:trPr>
          <w:trHeight w:hRule="exact" w:val="401"/>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12</w:t>
            </w:r>
          </w:p>
        </w:tc>
        <w:tc>
          <w:tcPr>
            <w:tcW w:w="3596"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耗能缓冲器</w:t>
            </w:r>
          </w:p>
        </w:tc>
        <w:tc>
          <w:tcPr>
            <w:tcW w:w="5159"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电气安全装置功能有效，油量适宜，柱塞无锈蚀</w:t>
            </w:r>
          </w:p>
        </w:tc>
      </w:tr>
      <w:tr w:rsidR="00706F07">
        <w:trPr>
          <w:trHeight w:hRule="exact" w:val="421"/>
          <w:jc w:val="center"/>
        </w:trPr>
        <w:tc>
          <w:tcPr>
            <w:tcW w:w="700" w:type="dxa"/>
            <w:tcBorders>
              <w:top w:val="single" w:sz="6" w:space="0" w:color="000000"/>
              <w:left w:val="single" w:sz="8"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13</w:t>
            </w:r>
          </w:p>
        </w:tc>
        <w:tc>
          <w:tcPr>
            <w:tcW w:w="3596" w:type="dxa"/>
            <w:tcBorders>
              <w:top w:val="single" w:sz="6" w:space="0" w:color="000000"/>
              <w:left w:val="single" w:sz="6"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限速器张紧轮装置和电气安全装置</w:t>
            </w:r>
          </w:p>
        </w:tc>
        <w:tc>
          <w:tcPr>
            <w:tcW w:w="5159" w:type="dxa"/>
            <w:tcBorders>
              <w:top w:val="single" w:sz="6" w:space="0" w:color="000000"/>
              <w:left w:val="single" w:sz="6" w:space="0" w:color="000000"/>
              <w:bottom w:val="single" w:sz="8"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bl>
    <w:p w:rsidR="00706F07" w:rsidRDefault="00706F07">
      <w:pPr>
        <w:pStyle w:val="a3"/>
        <w:spacing w:after="0" w:line="300" w:lineRule="exact"/>
        <w:rPr>
          <w:rFonts w:ascii="宋体" w:hAnsi="宋体"/>
          <w:bCs/>
          <w:sz w:val="22"/>
          <w:szCs w:val="22"/>
        </w:rPr>
      </w:pPr>
    </w:p>
    <w:p w:rsidR="00706F07" w:rsidRPr="009A4348" w:rsidRDefault="00FA45C6">
      <w:pPr>
        <w:snapToGrid w:val="0"/>
        <w:spacing w:line="360" w:lineRule="auto"/>
        <w:ind w:firstLineChars="200" w:firstLine="640"/>
        <w:rPr>
          <w:rFonts w:ascii="方正楷体_GBK" w:eastAsia="方正楷体_GBK" w:hAnsi="仿宋_GB2312" w:cs="仿宋_GB2312"/>
          <w:sz w:val="32"/>
          <w:szCs w:val="32"/>
        </w:rPr>
      </w:pPr>
      <w:r w:rsidRPr="009A4348">
        <w:rPr>
          <w:rFonts w:ascii="方正楷体_GBK" w:eastAsia="方正楷体_GBK" w:hAnsi="仿宋_GB2312" w:cs="仿宋_GB2312" w:hint="eastAsia"/>
          <w:sz w:val="32"/>
          <w:szCs w:val="32"/>
        </w:rPr>
        <w:t>3.年度检查</w:t>
      </w:r>
    </w:p>
    <w:p w:rsidR="00706F07" w:rsidRDefault="00FA45C6">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电梯维修保养人员在电梯运行半年后，应对电梯进行全面技术检验，详细检查所有电梯的机械、电气、安全设备的情况，整机调试，并做好相关记录备查。(详见附表3、4)</w:t>
      </w:r>
    </w:p>
    <w:p w:rsidR="00706F07" w:rsidRDefault="00FA45C6">
      <w:pPr>
        <w:pStyle w:val="a3"/>
        <w:spacing w:after="0" w:line="3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附表3、半年维保项目（内容）和要求</w:t>
      </w:r>
    </w:p>
    <w:tbl>
      <w:tblPr>
        <w:tblW w:w="9438"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681"/>
        <w:gridCol w:w="3685"/>
        <w:gridCol w:w="5072"/>
      </w:tblGrid>
      <w:tr w:rsidR="00706F07">
        <w:trPr>
          <w:trHeight w:hRule="exact" w:val="428"/>
          <w:jc w:val="center"/>
        </w:trPr>
        <w:tc>
          <w:tcPr>
            <w:tcW w:w="681" w:type="dxa"/>
            <w:tcBorders>
              <w:top w:val="single" w:sz="8"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序号</w:t>
            </w:r>
          </w:p>
        </w:tc>
        <w:tc>
          <w:tcPr>
            <w:tcW w:w="3685" w:type="dxa"/>
            <w:tcBorders>
              <w:top w:val="single" w:sz="8"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维保项目（内容）</w:t>
            </w:r>
          </w:p>
        </w:tc>
        <w:tc>
          <w:tcPr>
            <w:tcW w:w="5072" w:type="dxa"/>
            <w:tcBorders>
              <w:top w:val="single" w:sz="8"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维保基本要求</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电动机与减速机联轴器</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连接无松动，弹性元件外观良好，无老化等现象</w:t>
            </w:r>
            <w:r>
              <w:rPr>
                <w:rFonts w:ascii="宋体" w:hAnsi="宋体"/>
                <w:sz w:val="22"/>
              </w:rPr>
              <w:t> </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曳引轮、导向轮轴承部</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无异常声，无振动，润滑良好</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3</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曳引轮槽</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磨损量不超过制造单位要求</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4</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制动器动作状态监测装置</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工作正常，制动器动作可靠</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5</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控制柜内各接线端子</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各接线紧固、整齐，线号齐全清晰</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6</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控制柜各仪表</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显示正确</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7</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井道、对重、轿顶各反绳轮轴承部</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无异常声，无振动，润滑良好</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8</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曳引绳、补偿绳</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磨损量、断丝数不超过要求</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9</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曳引绳绳头组合</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螺母无松动</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10</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限速器钢丝绳</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磨损量、断丝数不超过制造单位要求</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11</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层门、轿门门扇</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门扇各相关间隙符合标准</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12</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轿门开门限制装置</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13</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对重缓冲距</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符合标准</w:t>
            </w:r>
          </w:p>
        </w:tc>
      </w:tr>
      <w:tr w:rsidR="00706F07">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14</w:t>
            </w:r>
          </w:p>
        </w:tc>
        <w:tc>
          <w:tcPr>
            <w:tcW w:w="3685"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补偿链（绳）与轿厢、对重接合处</w:t>
            </w:r>
          </w:p>
        </w:tc>
        <w:tc>
          <w:tcPr>
            <w:tcW w:w="5072"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固定、无松动</w:t>
            </w:r>
          </w:p>
        </w:tc>
      </w:tr>
      <w:tr w:rsidR="00706F07">
        <w:trPr>
          <w:trHeight w:hRule="exact" w:val="428"/>
          <w:jc w:val="center"/>
        </w:trPr>
        <w:tc>
          <w:tcPr>
            <w:tcW w:w="681" w:type="dxa"/>
            <w:tcBorders>
              <w:top w:val="single" w:sz="6" w:space="0" w:color="000000"/>
              <w:left w:val="single" w:sz="8"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15</w:t>
            </w:r>
          </w:p>
        </w:tc>
        <w:tc>
          <w:tcPr>
            <w:tcW w:w="3685" w:type="dxa"/>
            <w:tcBorders>
              <w:top w:val="single" w:sz="6" w:space="0" w:color="000000"/>
              <w:left w:val="single" w:sz="6"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上下极限开关</w:t>
            </w:r>
          </w:p>
        </w:tc>
        <w:tc>
          <w:tcPr>
            <w:tcW w:w="5072" w:type="dxa"/>
            <w:tcBorders>
              <w:top w:val="single" w:sz="6" w:space="0" w:color="000000"/>
              <w:left w:val="single" w:sz="6" w:space="0" w:color="000000"/>
              <w:bottom w:val="single" w:sz="8"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bl>
    <w:p w:rsidR="00706F07" w:rsidRDefault="00706F07">
      <w:pPr>
        <w:pStyle w:val="a3"/>
        <w:spacing w:after="0" w:line="300" w:lineRule="exact"/>
        <w:rPr>
          <w:rFonts w:ascii="宋体" w:hAnsi="宋体"/>
          <w:bCs/>
          <w:sz w:val="22"/>
          <w:szCs w:val="22"/>
        </w:rPr>
      </w:pPr>
    </w:p>
    <w:p w:rsidR="00706F07" w:rsidRDefault="00706F07">
      <w:pPr>
        <w:pStyle w:val="a3"/>
        <w:spacing w:after="0" w:line="300" w:lineRule="exact"/>
        <w:rPr>
          <w:rFonts w:ascii="宋体" w:hAnsi="宋体"/>
          <w:bCs/>
          <w:sz w:val="22"/>
          <w:szCs w:val="22"/>
        </w:rPr>
      </w:pPr>
    </w:p>
    <w:p w:rsidR="009A4348" w:rsidRDefault="009A4348">
      <w:pPr>
        <w:pStyle w:val="a3"/>
        <w:spacing w:after="0" w:line="300" w:lineRule="exact"/>
        <w:rPr>
          <w:rFonts w:ascii="宋体" w:hAnsi="宋体"/>
          <w:bCs/>
          <w:sz w:val="22"/>
          <w:szCs w:val="22"/>
        </w:rPr>
      </w:pPr>
    </w:p>
    <w:p w:rsidR="009A4348" w:rsidRDefault="009A4348">
      <w:pPr>
        <w:pStyle w:val="a3"/>
        <w:spacing w:after="0" w:line="300" w:lineRule="exact"/>
        <w:rPr>
          <w:rFonts w:ascii="宋体" w:hAnsi="宋体"/>
          <w:bCs/>
          <w:sz w:val="22"/>
          <w:szCs w:val="22"/>
        </w:rPr>
      </w:pPr>
    </w:p>
    <w:p w:rsidR="009A4348" w:rsidRDefault="009A4348">
      <w:pPr>
        <w:pStyle w:val="a3"/>
        <w:spacing w:after="0" w:line="300" w:lineRule="exact"/>
        <w:rPr>
          <w:rFonts w:ascii="宋体" w:hAnsi="宋体"/>
          <w:bCs/>
          <w:sz w:val="22"/>
          <w:szCs w:val="22"/>
        </w:rPr>
      </w:pPr>
    </w:p>
    <w:p w:rsidR="00706F07" w:rsidRDefault="00FA45C6">
      <w:pPr>
        <w:pStyle w:val="a3"/>
        <w:spacing w:after="0" w:line="3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附表4、全年维保项目（内容）和要求</w:t>
      </w:r>
    </w:p>
    <w:tbl>
      <w:tblPr>
        <w:tblW w:w="9473" w:type="dxa"/>
        <w:jc w:val="center"/>
        <w:tblLayout w:type="fixed"/>
        <w:tblLook w:val="04A0"/>
      </w:tblPr>
      <w:tblGrid>
        <w:gridCol w:w="701"/>
        <w:gridCol w:w="3547"/>
        <w:gridCol w:w="5225"/>
      </w:tblGrid>
      <w:tr w:rsidR="00706F07">
        <w:trPr>
          <w:trHeight w:hRule="exact" w:val="448"/>
          <w:jc w:val="center"/>
        </w:trPr>
        <w:tc>
          <w:tcPr>
            <w:tcW w:w="701" w:type="dxa"/>
            <w:tcBorders>
              <w:top w:val="single" w:sz="8"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序号</w:t>
            </w:r>
          </w:p>
        </w:tc>
        <w:tc>
          <w:tcPr>
            <w:tcW w:w="3547" w:type="dxa"/>
            <w:tcBorders>
              <w:top w:val="single" w:sz="8"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维保项目（内容）</w:t>
            </w:r>
          </w:p>
        </w:tc>
        <w:tc>
          <w:tcPr>
            <w:tcW w:w="5225" w:type="dxa"/>
            <w:tcBorders>
              <w:top w:val="single" w:sz="8"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维保基本要求</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w:t>
            </w:r>
          </w:p>
        </w:tc>
        <w:tc>
          <w:tcPr>
            <w:tcW w:w="3547"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减速机润滑油</w:t>
            </w:r>
          </w:p>
        </w:tc>
        <w:tc>
          <w:tcPr>
            <w:tcW w:w="5225"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按照制造单位要求适时更换，保证油质符合要求</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2</w:t>
            </w:r>
          </w:p>
        </w:tc>
        <w:tc>
          <w:tcPr>
            <w:tcW w:w="3547"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控制柜接触器，继电器触点</w:t>
            </w:r>
          </w:p>
        </w:tc>
        <w:tc>
          <w:tcPr>
            <w:tcW w:w="5225"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接触良好</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3</w:t>
            </w:r>
          </w:p>
        </w:tc>
        <w:tc>
          <w:tcPr>
            <w:tcW w:w="3547"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制动器铁芯（柱塞）</w:t>
            </w:r>
          </w:p>
        </w:tc>
        <w:tc>
          <w:tcPr>
            <w:tcW w:w="5225"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进行清洁、润滑、检查，磨损量不超过制造单位要求</w:t>
            </w:r>
          </w:p>
        </w:tc>
      </w:tr>
      <w:tr w:rsidR="00706F07">
        <w:trPr>
          <w:trHeight w:hRule="exact" w:val="824"/>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4</w:t>
            </w:r>
          </w:p>
        </w:tc>
        <w:tc>
          <w:tcPr>
            <w:tcW w:w="3547"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制动器制动能力</w:t>
            </w:r>
          </w:p>
        </w:tc>
        <w:tc>
          <w:tcPr>
            <w:tcW w:w="5225"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符合制造单位要求，保持有足够的制动力，必要时进行轿厢装载</w:t>
            </w:r>
            <w:r>
              <w:rPr>
                <w:rFonts w:ascii="宋体" w:hAnsi="宋体"/>
                <w:sz w:val="22"/>
              </w:rPr>
              <w:t> </w:t>
            </w:r>
            <w:r>
              <w:rPr>
                <w:rFonts w:ascii="宋体" w:hAnsi="宋体"/>
                <w:sz w:val="22"/>
              </w:rPr>
              <w:t>125%</w:t>
            </w:r>
            <w:r>
              <w:rPr>
                <w:rFonts w:ascii="宋体" w:hAnsi="宋体" w:hint="eastAsia"/>
                <w:sz w:val="22"/>
              </w:rPr>
              <w:t>额定载重量的制动试验</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5</w:t>
            </w:r>
          </w:p>
        </w:tc>
        <w:tc>
          <w:tcPr>
            <w:tcW w:w="3547" w:type="dxa"/>
            <w:tcBorders>
              <w:top w:val="single" w:sz="6" w:space="0" w:color="000000"/>
              <w:left w:val="single" w:sz="6"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导电回路绝缘性能测试</w:t>
            </w:r>
          </w:p>
        </w:tc>
        <w:tc>
          <w:tcPr>
            <w:tcW w:w="5225" w:type="dxa"/>
            <w:tcBorders>
              <w:top w:val="single" w:sz="6" w:space="0" w:color="000000"/>
              <w:left w:val="single" w:sz="6" w:space="0" w:color="000000"/>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符合标准</w:t>
            </w:r>
          </w:p>
        </w:tc>
      </w:tr>
      <w:tr w:rsidR="00706F07">
        <w:trPr>
          <w:trHeight w:hRule="exact" w:val="2246"/>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6</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限速器安全钳联动试验</w:t>
            </w:r>
            <w:r>
              <w:rPr>
                <w:rFonts w:ascii="宋体" w:hAnsi="宋体"/>
                <w:sz w:val="22"/>
              </w:rPr>
              <w:t>(</w:t>
            </w:r>
            <w:r>
              <w:rPr>
                <w:rFonts w:ascii="宋体" w:hAnsi="宋体" w:hint="eastAsia"/>
                <w:sz w:val="22"/>
              </w:rPr>
              <w:t>对于使用年限不超过</w:t>
            </w:r>
            <w:r>
              <w:rPr>
                <w:rFonts w:ascii="宋体" w:hAnsi="宋体"/>
                <w:sz w:val="22"/>
              </w:rPr>
              <w:t> </w:t>
            </w:r>
            <w:r>
              <w:rPr>
                <w:rFonts w:ascii="宋体" w:hAnsi="宋体"/>
                <w:sz w:val="22"/>
              </w:rPr>
              <w:t>15 </w:t>
            </w:r>
            <w:r>
              <w:rPr>
                <w:rFonts w:ascii="宋体" w:hAnsi="宋体" w:hint="eastAsia"/>
                <w:sz w:val="22"/>
              </w:rPr>
              <w:t>年的限速器，每</w:t>
            </w:r>
            <w:r>
              <w:rPr>
                <w:rFonts w:ascii="宋体" w:hAnsi="宋体"/>
                <w:sz w:val="22"/>
              </w:rPr>
              <w:t>2 </w:t>
            </w:r>
            <w:r>
              <w:rPr>
                <w:rFonts w:ascii="宋体" w:hAnsi="宋体" w:hint="eastAsia"/>
                <w:sz w:val="22"/>
              </w:rPr>
              <w:t>年进行一次限速器动作速度校验；对于使用年限超过</w:t>
            </w:r>
            <w:r>
              <w:rPr>
                <w:rFonts w:ascii="宋体" w:hAnsi="宋体"/>
                <w:sz w:val="22"/>
              </w:rPr>
              <w:t> </w:t>
            </w:r>
            <w:r>
              <w:rPr>
                <w:rFonts w:ascii="宋体" w:hAnsi="宋体"/>
                <w:sz w:val="22"/>
              </w:rPr>
              <w:t>15 </w:t>
            </w:r>
            <w:r>
              <w:rPr>
                <w:rFonts w:ascii="宋体" w:hAnsi="宋体" w:hint="eastAsia"/>
                <w:sz w:val="22"/>
              </w:rPr>
              <w:t>年的限速器，每年进行一次限速器动作速度校验</w:t>
            </w:r>
            <w:r>
              <w:rPr>
                <w:rFonts w:ascii="宋体" w:hAnsi="宋体"/>
                <w:sz w:val="22"/>
              </w:rPr>
              <w:t>) </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48"/>
          <w:jc w:val="center"/>
        </w:trPr>
        <w:tc>
          <w:tcPr>
            <w:tcW w:w="701" w:type="dxa"/>
            <w:tcBorders>
              <w:top w:val="single" w:sz="6" w:space="0" w:color="000000"/>
              <w:left w:val="single" w:sz="8" w:space="0" w:color="000000"/>
              <w:bottom w:val="single" w:sz="2"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7</w:t>
            </w:r>
          </w:p>
        </w:tc>
        <w:tc>
          <w:tcPr>
            <w:tcW w:w="3547" w:type="dxa"/>
            <w:tcBorders>
              <w:top w:val="single" w:sz="6" w:space="0" w:color="000000"/>
              <w:left w:val="nil"/>
              <w:bottom w:val="single" w:sz="2"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上行超速保护装置动作试验</w:t>
            </w:r>
          </w:p>
        </w:tc>
        <w:tc>
          <w:tcPr>
            <w:tcW w:w="5225" w:type="dxa"/>
            <w:tcBorders>
              <w:top w:val="single" w:sz="6" w:space="0" w:color="000000"/>
              <w:left w:val="nil"/>
              <w:bottom w:val="single" w:sz="2"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448"/>
          <w:jc w:val="center"/>
        </w:trPr>
        <w:tc>
          <w:tcPr>
            <w:tcW w:w="701" w:type="dxa"/>
            <w:tcBorders>
              <w:top w:val="single" w:sz="6" w:space="0" w:color="000000"/>
              <w:left w:val="single" w:sz="8" w:space="0" w:color="000000"/>
              <w:bottom w:val="single" w:sz="2"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8</w:t>
            </w:r>
          </w:p>
        </w:tc>
        <w:tc>
          <w:tcPr>
            <w:tcW w:w="3547" w:type="dxa"/>
            <w:tcBorders>
              <w:top w:val="single" w:sz="6" w:space="0" w:color="000000"/>
              <w:left w:val="nil"/>
              <w:bottom w:val="single" w:sz="2"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轿厢意外移动保护装置动作试验</w:t>
            </w:r>
          </w:p>
        </w:tc>
        <w:tc>
          <w:tcPr>
            <w:tcW w:w="5225" w:type="dxa"/>
            <w:tcBorders>
              <w:top w:val="single" w:sz="6" w:space="0" w:color="000000"/>
              <w:left w:val="nil"/>
              <w:bottom w:val="single" w:sz="2"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工作正常</w:t>
            </w:r>
          </w:p>
        </w:tc>
      </w:tr>
      <w:tr w:rsidR="00706F07">
        <w:trPr>
          <w:trHeight w:hRule="exact" w:val="651"/>
          <w:jc w:val="center"/>
        </w:trPr>
        <w:tc>
          <w:tcPr>
            <w:tcW w:w="701" w:type="dxa"/>
            <w:tcBorders>
              <w:top w:val="single" w:sz="2"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9</w:t>
            </w:r>
          </w:p>
        </w:tc>
        <w:tc>
          <w:tcPr>
            <w:tcW w:w="3547" w:type="dxa"/>
            <w:tcBorders>
              <w:top w:val="single" w:sz="2"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轿顶、轿厢架、轿门及其附件安装螺栓</w:t>
            </w:r>
          </w:p>
        </w:tc>
        <w:tc>
          <w:tcPr>
            <w:tcW w:w="5225" w:type="dxa"/>
            <w:tcBorders>
              <w:top w:val="single" w:sz="2"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紧固</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10</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轿厢和对重/平衡重的导轨支架</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固定，无松动</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11</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轿厢和对重/平衡重的导轨</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清洁，压板牢固</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12</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随行电缆</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无损伤</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13</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层门装置和地坎</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无影响正常使用的变形，各安装螺栓紧固</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14</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轿厢称重装置</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准确有效</w:t>
            </w:r>
          </w:p>
        </w:tc>
      </w:tr>
      <w:tr w:rsidR="00706F07">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15</w:t>
            </w:r>
          </w:p>
        </w:tc>
        <w:tc>
          <w:tcPr>
            <w:tcW w:w="3547" w:type="dxa"/>
            <w:tcBorders>
              <w:top w:val="single" w:sz="6" w:space="0" w:color="000000"/>
              <w:left w:val="nil"/>
              <w:bottom w:val="single" w:sz="6"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安全钳钳座</w:t>
            </w:r>
          </w:p>
        </w:tc>
        <w:tc>
          <w:tcPr>
            <w:tcW w:w="5225" w:type="dxa"/>
            <w:tcBorders>
              <w:top w:val="single" w:sz="6" w:space="0" w:color="000000"/>
              <w:left w:val="nil"/>
              <w:bottom w:val="single" w:sz="6"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固定，无松动</w:t>
            </w:r>
          </w:p>
        </w:tc>
      </w:tr>
      <w:tr w:rsidR="00706F07">
        <w:trPr>
          <w:trHeight w:hRule="exact" w:val="448"/>
          <w:jc w:val="center"/>
        </w:trPr>
        <w:tc>
          <w:tcPr>
            <w:tcW w:w="701" w:type="dxa"/>
            <w:tcBorders>
              <w:top w:val="single" w:sz="6" w:space="0" w:color="000000"/>
              <w:left w:val="single" w:sz="8" w:space="0" w:color="000000"/>
              <w:bottom w:val="single" w:sz="2"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16</w:t>
            </w:r>
          </w:p>
        </w:tc>
        <w:tc>
          <w:tcPr>
            <w:tcW w:w="3547" w:type="dxa"/>
            <w:tcBorders>
              <w:top w:val="single" w:sz="6" w:space="0" w:color="000000"/>
              <w:left w:val="nil"/>
              <w:bottom w:val="single" w:sz="2"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轿底各安装螺栓</w:t>
            </w:r>
          </w:p>
        </w:tc>
        <w:tc>
          <w:tcPr>
            <w:tcW w:w="5225" w:type="dxa"/>
            <w:tcBorders>
              <w:top w:val="single" w:sz="6" w:space="0" w:color="000000"/>
              <w:left w:val="nil"/>
              <w:bottom w:val="single" w:sz="2"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紧固</w:t>
            </w:r>
          </w:p>
        </w:tc>
      </w:tr>
      <w:tr w:rsidR="00706F07">
        <w:trPr>
          <w:trHeight w:hRule="exact" w:val="448"/>
          <w:jc w:val="center"/>
        </w:trPr>
        <w:tc>
          <w:tcPr>
            <w:tcW w:w="701" w:type="dxa"/>
            <w:tcBorders>
              <w:top w:val="single" w:sz="2" w:space="0" w:color="000000"/>
              <w:left w:val="single" w:sz="8" w:space="0" w:color="000000"/>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17</w:t>
            </w:r>
          </w:p>
        </w:tc>
        <w:tc>
          <w:tcPr>
            <w:tcW w:w="3547" w:type="dxa"/>
            <w:tcBorders>
              <w:top w:val="single" w:sz="2" w:space="0" w:color="000000"/>
              <w:left w:val="nil"/>
              <w:bottom w:val="single" w:sz="8" w:space="0" w:color="000000"/>
              <w:right w:val="single" w:sz="6"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缓冲器</w:t>
            </w:r>
          </w:p>
        </w:tc>
        <w:tc>
          <w:tcPr>
            <w:tcW w:w="5225" w:type="dxa"/>
            <w:tcBorders>
              <w:top w:val="single" w:sz="2" w:space="0" w:color="000000"/>
              <w:left w:val="nil"/>
              <w:bottom w:val="single" w:sz="8" w:space="0" w:color="000000"/>
              <w:right w:val="single" w:sz="8" w:space="0" w:color="000000"/>
            </w:tcBorders>
            <w:vAlign w:val="center"/>
          </w:tcPr>
          <w:p w:rsidR="00706F07" w:rsidRDefault="00FA45C6">
            <w:pPr>
              <w:pStyle w:val="a3"/>
              <w:snapToGrid w:val="0"/>
              <w:spacing w:after="0" w:line="300" w:lineRule="exact"/>
              <w:rPr>
                <w:rFonts w:ascii="宋体" w:hAnsi="宋体"/>
                <w:sz w:val="22"/>
              </w:rPr>
            </w:pPr>
            <w:r>
              <w:rPr>
                <w:rFonts w:ascii="宋体" w:hAnsi="宋体" w:hint="eastAsia"/>
                <w:sz w:val="22"/>
              </w:rPr>
              <w:t>固定，无松动</w:t>
            </w:r>
          </w:p>
        </w:tc>
      </w:tr>
    </w:tbl>
    <w:p w:rsidR="00706F07" w:rsidRDefault="00FA45C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五、维保方责任及义务</w:t>
      </w:r>
    </w:p>
    <w:p w:rsidR="00706F07" w:rsidRDefault="00FA45C6">
      <w:pPr>
        <w:spacing w:line="578" w:lineRule="exact"/>
        <w:ind w:leftChars="58" w:left="12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维保人员：维保方派遣经政府电梯主管部门认可的、并经过培训且取得《中华人民共和国特种设备作业人员证》3年以上的电梯维护保养专业人员，对使用方的电梯设备进行维护保养工作，保证电梯设备性能良好，合理地维护，使</w:t>
      </w:r>
      <w:r>
        <w:rPr>
          <w:rFonts w:ascii="仿宋_GB2312" w:eastAsia="仿宋_GB2312" w:hAnsi="仿宋_GB2312" w:cs="仿宋_GB2312" w:hint="eastAsia"/>
          <w:sz w:val="32"/>
          <w:szCs w:val="32"/>
        </w:rPr>
        <w:lastRenderedPageBreak/>
        <w:t>设备保持良好和安全的运行状态。在每台电梯内张贴派遣人员的姓名、通讯号码、《中华人民共和国特种设备作业人员证》复印件（须加盖维保单位印章）。</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2.定期服务：维保方按照约定，对被保养的使用方电梯，提供进行每15天一次的例行检查、润滑并调整设备的保养服务，认真填写各项有关维护保养记录。</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急服务：电梯发生临时困人故障时，维保方在接到使用方通知后40分钟内赶赴现场排除故障。对电梯困人事故要求在到达现场后10分钟内把乘客从轿厢中救出，对非电子板原因的常见故障要求在120分钟内排出，对电子板原因的故障或重大故障应在48小时内解决。</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4.安全标准：维保方根据被保养的电梯设备的实际情况，按照国家标准的安全内容对使用方电梯进行维护保养；使用方有新的要求或者政府有关法律法规改变时，及时按相关要求或规定进行调整。</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5.服务范围：按照维保方《曳引与强制驱动电梯日常维护保养记录表》中确定的相关内容进行维护保养工作。</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6.维护区域：维保方将与使用方紧密配合，保持机房、隔音层、门坎、轿顶、分割横梁、井道底坑及扶梯梯级、机房的清洁工作。</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7.运行维护：维保方根据要求，依照预先的设计功能及特性，维护设备的运行，必要时可按照使用方和维保方共同的合同要求，在有关政策标准允许的范围内进行更改。</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8.工作确认：维保方按照合同约定的时间进行维护保养</w:t>
      </w:r>
      <w:r>
        <w:rPr>
          <w:rFonts w:ascii="仿宋_GB2312" w:eastAsia="仿宋_GB2312" w:hAnsi="仿宋_GB2312" w:cs="仿宋_GB2312" w:hint="eastAsia"/>
          <w:sz w:val="32"/>
          <w:szCs w:val="32"/>
        </w:rPr>
        <w:lastRenderedPageBreak/>
        <w:t>工作，在每次工作完毕时，均按实际情况填写《曳引与强制驱动电梯日常维护保养记录表》，使用方应在每次工作结束时，在该单上签字认可维保方员工的工作事实。</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自检报告：维保方根据《电梯使用管理与维护保养规则》第十五条第八项的要求，在每年度检验检测机构进行定期检验之前，由具备资格的维保方代表，进行周密的设备调查，并为使用方提供一份详细的《电梯自检记录》，以总结在保养年度内的各项工作。维保方自检人员在对电梯自检过程中使用方应派员全程跟踪和监督，维保方自检人员自检时将严格按照《曳引与强制驱动电梯监督检验和定期检验内容、要求与方法》进行，若维保方违反操作规程所造成的损失由维保方承担相应损失和责任。</w:t>
      </w:r>
    </w:p>
    <w:p w:rsidR="00706F07" w:rsidRDefault="00FA45C6">
      <w:pPr>
        <w:pStyle w:val="a7"/>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部件更换：维保方为保证电梯设备安全、可靠地运行，将有计划地、及时合理地提供被保养电梯的相关零配件，并进行必要的更换工作。所跟换的配件必须是原装配件，光膜、主板、变频器、主机等重要部件还必须提供电梯厂家提供的发票，且更换下来的部件应由使用学院保管。若使用单位发现维保单位未采用原装配件，使用单位有权与维保单位终止合同，并保留向维保单位索赔的权利。</w:t>
      </w:r>
    </w:p>
    <w:p w:rsidR="00706F07" w:rsidRDefault="00FA45C6">
      <w:pPr>
        <w:pStyle w:val="a7"/>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11.维保过程中需要的基础耗材（如：工具、润滑油、手套等）由维保单位承担。</w:t>
      </w:r>
    </w:p>
    <w:p w:rsidR="00706F07" w:rsidRDefault="00FA4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12.维保方人员的人身安全和施工设备安全由维保方自行负责，因维保方原因造成的人员伤亡事故和设备损失等，由维保方承担全部法律及经济责任。</w:t>
      </w:r>
    </w:p>
    <w:p w:rsidR="00706F07" w:rsidRDefault="00FA45C6">
      <w:pPr>
        <w:tabs>
          <w:tab w:val="left" w:pos="54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13.维保单位自维护保养之日起，须制定年度、半年、季度、月、半月维护维保计划，送使用单位存档，并严格按照半月、月、季度、半年、年度维保要求进行维护保养工作，并请使用单位管理负责人签字确认。</w:t>
      </w:r>
    </w:p>
    <w:p w:rsidR="00706F07" w:rsidRDefault="00FA45C6">
      <w:pPr>
        <w:tabs>
          <w:tab w:val="left" w:pos="54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14.维保单位制定应急演练计划，并按计划实施演练，应急演练方案须报给使用单位备案。</w:t>
      </w:r>
    </w:p>
    <w:p w:rsidR="00706F07" w:rsidRDefault="00FA45C6">
      <w:pPr>
        <w:tabs>
          <w:tab w:val="left" w:pos="54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15.维保单位须按使用单位要求提供24小时应急服务。</w:t>
      </w:r>
    </w:p>
    <w:p w:rsidR="00706F07" w:rsidRDefault="00FA45C6">
      <w:pPr>
        <w:tabs>
          <w:tab w:val="left" w:pos="540"/>
          <w:tab w:val="left" w:pos="72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16.维保单位须在年检前一个月做好电梯报检和电梯年</w:t>
      </w:r>
    </w:p>
    <w:p w:rsidR="00706F07" w:rsidRDefault="00FA45C6">
      <w:pPr>
        <w:tabs>
          <w:tab w:val="left" w:pos="540"/>
          <w:tab w:val="left" w:pos="720"/>
          <w:tab w:val="left" w:pos="900"/>
        </w:tabs>
        <w:spacing w:line="57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检相关工作。</w:t>
      </w:r>
    </w:p>
    <w:p w:rsidR="00706F07" w:rsidRPr="009A4348" w:rsidRDefault="00FA45C6">
      <w:pPr>
        <w:tabs>
          <w:tab w:val="left" w:pos="540"/>
          <w:tab w:val="left" w:pos="720"/>
          <w:tab w:val="left" w:pos="900"/>
        </w:tabs>
        <w:spacing w:line="578" w:lineRule="exact"/>
        <w:ind w:firstLineChars="200" w:firstLine="640"/>
        <w:rPr>
          <w:rFonts w:ascii="方正黑体_GBK" w:eastAsia="方正黑体_GBK" w:hAnsi="仿宋_GB2312" w:cs="仿宋_GB2312"/>
          <w:sz w:val="32"/>
          <w:szCs w:val="32"/>
        </w:rPr>
      </w:pPr>
      <w:r w:rsidRPr="009A4348">
        <w:rPr>
          <w:rFonts w:ascii="方正黑体_GBK" w:eastAsia="方正黑体_GBK" w:hAnsi="仿宋_GB2312" w:cs="仿宋_GB2312" w:hint="eastAsia"/>
          <w:sz w:val="32"/>
          <w:szCs w:val="32"/>
        </w:rPr>
        <w:t>六、考核要求</w:t>
      </w:r>
    </w:p>
    <w:p w:rsidR="00706F07" w:rsidRDefault="00FA45C6">
      <w:pPr>
        <w:tabs>
          <w:tab w:val="left" w:pos="540"/>
          <w:tab w:val="left" w:pos="72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若发生下列情况，每发生一次扣除当年维保费的5%，并在年度费用结算时予以扣除：</w:t>
      </w:r>
    </w:p>
    <w:p w:rsidR="00706F07" w:rsidRDefault="00FA45C6">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未完成保养任务；</w:t>
      </w:r>
    </w:p>
    <w:p w:rsidR="00706F07" w:rsidRDefault="00FA45C6">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电梯故障未按要求的时间内到达现场；</w:t>
      </w:r>
    </w:p>
    <w:p w:rsidR="00706F07" w:rsidRDefault="00FA45C6">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因维保不到位导致同一故障在短时间内（1周内）连续出现。</w:t>
      </w:r>
    </w:p>
    <w:p w:rsidR="00706F07" w:rsidRDefault="00FA45C6">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在特检所或其他安全部门安全检查中，因维保原因被通报批评。</w:t>
      </w:r>
    </w:p>
    <w:sectPr w:rsidR="00706F07" w:rsidSect="00706F07">
      <w:headerReference w:type="default"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D4" w:rsidRDefault="008A74D4" w:rsidP="00706F07">
      <w:r>
        <w:separator/>
      </w:r>
    </w:p>
  </w:endnote>
  <w:endnote w:type="continuationSeparator" w:id="1">
    <w:p w:rsidR="008A74D4" w:rsidRDefault="008A74D4" w:rsidP="00706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07" w:rsidRDefault="00E4189C">
    <w:pPr>
      <w:pStyle w:val="a5"/>
    </w:pPr>
    <w:r>
      <w:pict>
        <v:shapetype id="_x0000_t202" coordsize="21600,21600" o:spt="202" path="m,l,21600r21600,l21600,xe">
          <v:stroke joinstyle="miter"/>
          <v:path gradientshapeok="t" o:connecttype="rect"/>
        </v:shapetype>
        <v:shape id="_x0000_s1026" type="#_x0000_t202" style="position:absolute;margin-left:-33.1pt;margin-top:0;width:23.45pt;height:12.2pt;z-index:251658240;mso-wrap-style:none;mso-position-horizontal:outside;mso-position-horizontal-relative:margin" o:gfxdata="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DoiZtIAAAADAQAADwAAAAAAAAABACAA&#10;AAAiAAAAZHJzL2Rvd25yZXYueG1sUEsBAhQAFAAAAAgAh07iQMC2YAYTAgAABQQAAA4AAAAAAAAA&#10;AQAgAAAAIQEAAGRycy9lMm9Eb2MueG1sUEsFBgAAAAAGAAYAWQEAAKYFAAAAAA==&#10;" filled="f" stroked="f" strokeweight=".5pt">
          <v:textbox style="mso-fit-shape-to-text:t" inset="0,0,0,0">
            <w:txbxContent>
              <w:p w:rsidR="00706F07" w:rsidRDefault="00E4189C">
                <w:pPr>
                  <w:pStyle w:val="a5"/>
                  <w:rPr>
                    <w:rFonts w:eastAsia="宋体"/>
                  </w:rPr>
                </w:pPr>
                <w:r>
                  <w:fldChar w:fldCharType="begin"/>
                </w:r>
                <w:r w:rsidR="00FA45C6">
                  <w:instrText xml:space="preserve"> PAGE  \* MERGEFORMAT </w:instrText>
                </w:r>
                <w:r>
                  <w:fldChar w:fldCharType="separate"/>
                </w:r>
                <w:r w:rsidR="000D51F7">
                  <w:rPr>
                    <w:noProof/>
                  </w:rPr>
                  <w:t>- 8 -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D4" w:rsidRDefault="008A74D4" w:rsidP="00706F07">
      <w:r>
        <w:separator/>
      </w:r>
    </w:p>
  </w:footnote>
  <w:footnote w:type="continuationSeparator" w:id="1">
    <w:p w:rsidR="008A74D4" w:rsidRDefault="008A74D4" w:rsidP="00706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07" w:rsidRDefault="00706F07">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918"/>
    <w:multiLevelType w:val="multilevel"/>
    <w:tmpl w:val="2AEC691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113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43C"/>
    <w:rsid w:val="000051D7"/>
    <w:rsid w:val="000108F0"/>
    <w:rsid w:val="00022047"/>
    <w:rsid w:val="000306BE"/>
    <w:rsid w:val="000C197D"/>
    <w:rsid w:val="000D51F7"/>
    <w:rsid w:val="000F7AFC"/>
    <w:rsid w:val="00117DE8"/>
    <w:rsid w:val="00123720"/>
    <w:rsid w:val="00124D70"/>
    <w:rsid w:val="00140613"/>
    <w:rsid w:val="0016182A"/>
    <w:rsid w:val="00164765"/>
    <w:rsid w:val="001813AC"/>
    <w:rsid w:val="0018725E"/>
    <w:rsid w:val="001928CA"/>
    <w:rsid w:val="001B65E5"/>
    <w:rsid w:val="001C28BF"/>
    <w:rsid w:val="001D0656"/>
    <w:rsid w:val="00206DAB"/>
    <w:rsid w:val="00236D69"/>
    <w:rsid w:val="00253B58"/>
    <w:rsid w:val="002A013C"/>
    <w:rsid w:val="002E093C"/>
    <w:rsid w:val="002F5376"/>
    <w:rsid w:val="00313AD9"/>
    <w:rsid w:val="003A45CC"/>
    <w:rsid w:val="003B671A"/>
    <w:rsid w:val="003C5F29"/>
    <w:rsid w:val="00423A95"/>
    <w:rsid w:val="004A6CBA"/>
    <w:rsid w:val="004B0155"/>
    <w:rsid w:val="004B32C6"/>
    <w:rsid w:val="004C5D47"/>
    <w:rsid w:val="004D1B18"/>
    <w:rsid w:val="004D410F"/>
    <w:rsid w:val="005027CC"/>
    <w:rsid w:val="00545E6D"/>
    <w:rsid w:val="00567979"/>
    <w:rsid w:val="00595147"/>
    <w:rsid w:val="005E1989"/>
    <w:rsid w:val="005E5129"/>
    <w:rsid w:val="006029AC"/>
    <w:rsid w:val="006226EA"/>
    <w:rsid w:val="00645B1F"/>
    <w:rsid w:val="00653C78"/>
    <w:rsid w:val="00691B87"/>
    <w:rsid w:val="006D7516"/>
    <w:rsid w:val="006E62D0"/>
    <w:rsid w:val="006F50A7"/>
    <w:rsid w:val="006F7EA3"/>
    <w:rsid w:val="007040C6"/>
    <w:rsid w:val="00706F07"/>
    <w:rsid w:val="0071041F"/>
    <w:rsid w:val="00721B42"/>
    <w:rsid w:val="00724EC5"/>
    <w:rsid w:val="00727A46"/>
    <w:rsid w:val="00763898"/>
    <w:rsid w:val="00775473"/>
    <w:rsid w:val="007918F4"/>
    <w:rsid w:val="007D43E1"/>
    <w:rsid w:val="007F2A8F"/>
    <w:rsid w:val="007F6BC1"/>
    <w:rsid w:val="007F72EB"/>
    <w:rsid w:val="007F78B2"/>
    <w:rsid w:val="00807C9A"/>
    <w:rsid w:val="00817EB8"/>
    <w:rsid w:val="00833934"/>
    <w:rsid w:val="00843B80"/>
    <w:rsid w:val="00861099"/>
    <w:rsid w:val="00876BE1"/>
    <w:rsid w:val="008A74D4"/>
    <w:rsid w:val="008B2065"/>
    <w:rsid w:val="008B3EA4"/>
    <w:rsid w:val="008C3195"/>
    <w:rsid w:val="00912C01"/>
    <w:rsid w:val="00955806"/>
    <w:rsid w:val="00960711"/>
    <w:rsid w:val="009A4348"/>
    <w:rsid w:val="009B2703"/>
    <w:rsid w:val="009B40D9"/>
    <w:rsid w:val="009C3A7B"/>
    <w:rsid w:val="00A07D75"/>
    <w:rsid w:val="00A35658"/>
    <w:rsid w:val="00A46E79"/>
    <w:rsid w:val="00A85ED4"/>
    <w:rsid w:val="00A93E36"/>
    <w:rsid w:val="00AA5102"/>
    <w:rsid w:val="00AE375A"/>
    <w:rsid w:val="00AF1241"/>
    <w:rsid w:val="00B23CD2"/>
    <w:rsid w:val="00B26D7C"/>
    <w:rsid w:val="00B63B8C"/>
    <w:rsid w:val="00B93828"/>
    <w:rsid w:val="00BE13A3"/>
    <w:rsid w:val="00BF043C"/>
    <w:rsid w:val="00C525AF"/>
    <w:rsid w:val="00C6493E"/>
    <w:rsid w:val="00C82CA1"/>
    <w:rsid w:val="00CB33CD"/>
    <w:rsid w:val="00CE3F01"/>
    <w:rsid w:val="00D71F42"/>
    <w:rsid w:val="00D765A8"/>
    <w:rsid w:val="00DA774D"/>
    <w:rsid w:val="00DC67C9"/>
    <w:rsid w:val="00E279B6"/>
    <w:rsid w:val="00E4189C"/>
    <w:rsid w:val="00E5323D"/>
    <w:rsid w:val="00E77BB5"/>
    <w:rsid w:val="00E85D02"/>
    <w:rsid w:val="00EE4C19"/>
    <w:rsid w:val="00F14171"/>
    <w:rsid w:val="00F30A1A"/>
    <w:rsid w:val="00F669F6"/>
    <w:rsid w:val="00FA45C6"/>
    <w:rsid w:val="00FC06F6"/>
    <w:rsid w:val="00FC51FE"/>
    <w:rsid w:val="080112A0"/>
    <w:rsid w:val="08B55417"/>
    <w:rsid w:val="0F283CD3"/>
    <w:rsid w:val="0F4555C0"/>
    <w:rsid w:val="18B43E06"/>
    <w:rsid w:val="22537B3A"/>
    <w:rsid w:val="22E03FE2"/>
    <w:rsid w:val="29DC0BA1"/>
    <w:rsid w:val="2B7B1C0B"/>
    <w:rsid w:val="2EC71B7E"/>
    <w:rsid w:val="4509318E"/>
    <w:rsid w:val="451D5C4B"/>
    <w:rsid w:val="4E445E09"/>
    <w:rsid w:val="5AFA0BFE"/>
    <w:rsid w:val="5EFF5A8B"/>
    <w:rsid w:val="5FA7122D"/>
    <w:rsid w:val="629A4197"/>
    <w:rsid w:val="638F7E5D"/>
    <w:rsid w:val="68795BD2"/>
    <w:rsid w:val="6FB83D55"/>
    <w:rsid w:val="702A3729"/>
    <w:rsid w:val="72074B0F"/>
    <w:rsid w:val="731B0B67"/>
    <w:rsid w:val="749859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0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706F07"/>
    <w:pPr>
      <w:spacing w:after="120"/>
    </w:pPr>
    <w:rPr>
      <w:rFonts w:ascii="Times New Roman" w:hAnsi="Times New Roman"/>
      <w:szCs w:val="20"/>
    </w:rPr>
  </w:style>
  <w:style w:type="paragraph" w:styleId="a4">
    <w:name w:val="Body Text Indent"/>
    <w:basedOn w:val="a"/>
    <w:link w:val="Char0"/>
    <w:uiPriority w:val="99"/>
    <w:semiHidden/>
    <w:unhideWhenUsed/>
    <w:qFormat/>
    <w:rsid w:val="00706F07"/>
    <w:pPr>
      <w:spacing w:after="120"/>
      <w:ind w:leftChars="200" w:left="420"/>
    </w:pPr>
  </w:style>
  <w:style w:type="paragraph" w:styleId="a5">
    <w:name w:val="footer"/>
    <w:basedOn w:val="a"/>
    <w:link w:val="Char1"/>
    <w:uiPriority w:val="99"/>
    <w:unhideWhenUsed/>
    <w:qFormat/>
    <w:rsid w:val="00706F0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706F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4"/>
    <w:link w:val="2Char"/>
    <w:unhideWhenUsed/>
    <w:qFormat/>
    <w:rsid w:val="00706F07"/>
    <w:pPr>
      <w:ind w:firstLineChars="200" w:firstLine="420"/>
    </w:pPr>
    <w:rPr>
      <w:rFonts w:eastAsia="Times New Roman"/>
      <w:szCs w:val="22"/>
    </w:rPr>
  </w:style>
  <w:style w:type="character" w:customStyle="1" w:styleId="Char2">
    <w:name w:val="页眉 Char"/>
    <w:basedOn w:val="a0"/>
    <w:link w:val="a6"/>
    <w:uiPriority w:val="99"/>
    <w:qFormat/>
    <w:rsid w:val="00706F07"/>
    <w:rPr>
      <w:sz w:val="18"/>
      <w:szCs w:val="18"/>
    </w:rPr>
  </w:style>
  <w:style w:type="character" w:customStyle="1" w:styleId="Char1">
    <w:name w:val="页脚 Char"/>
    <w:basedOn w:val="a0"/>
    <w:link w:val="a5"/>
    <w:uiPriority w:val="99"/>
    <w:qFormat/>
    <w:rsid w:val="00706F07"/>
    <w:rPr>
      <w:sz w:val="18"/>
      <w:szCs w:val="18"/>
    </w:rPr>
  </w:style>
  <w:style w:type="character" w:customStyle="1" w:styleId="Char0">
    <w:name w:val="正文文本缩进 Char"/>
    <w:basedOn w:val="a0"/>
    <w:link w:val="a4"/>
    <w:uiPriority w:val="99"/>
    <w:semiHidden/>
    <w:qFormat/>
    <w:rsid w:val="00706F07"/>
    <w:rPr>
      <w:rFonts w:ascii="Calibri" w:eastAsia="宋体" w:hAnsi="Calibri" w:cs="Times New Roman"/>
      <w:szCs w:val="24"/>
    </w:rPr>
  </w:style>
  <w:style w:type="character" w:customStyle="1" w:styleId="2Char">
    <w:name w:val="正文首行缩进 2 Char"/>
    <w:basedOn w:val="Char0"/>
    <w:link w:val="2"/>
    <w:qFormat/>
    <w:rsid w:val="00706F07"/>
    <w:rPr>
      <w:rFonts w:ascii="Calibri" w:eastAsia="Times New Roman" w:hAnsi="Calibri" w:cs="Times New Roman"/>
      <w:szCs w:val="24"/>
    </w:rPr>
  </w:style>
  <w:style w:type="character" w:customStyle="1" w:styleId="Char">
    <w:name w:val="正文文本 Char"/>
    <w:basedOn w:val="a0"/>
    <w:link w:val="a3"/>
    <w:uiPriority w:val="99"/>
    <w:qFormat/>
    <w:rsid w:val="00706F07"/>
    <w:rPr>
      <w:rFonts w:ascii="Times New Roman" w:eastAsia="宋体" w:hAnsi="Times New Roman" w:cs="Times New Roman"/>
      <w:kern w:val="2"/>
      <w:sz w:val="21"/>
    </w:rPr>
  </w:style>
  <w:style w:type="paragraph" w:styleId="a7">
    <w:name w:val="List Paragraph"/>
    <w:basedOn w:val="a"/>
    <w:uiPriority w:val="99"/>
    <w:unhideWhenUsed/>
    <w:rsid w:val="00706F07"/>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D6E4A-B1F7-4442-910E-E528C5E9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陈柏杉</dc:creator>
  <cp:lastModifiedBy>daier</cp:lastModifiedBy>
  <cp:revision>3</cp:revision>
  <dcterms:created xsi:type="dcterms:W3CDTF">2020-12-03T07:50:00Z</dcterms:created>
  <dcterms:modified xsi:type="dcterms:W3CDTF">2020-12-03T07:50:00Z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